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DCA4A" w14:textId="47152DC0" w:rsidR="00CC51F5" w:rsidRPr="00B36AEA" w:rsidRDefault="00CC51F5" w:rsidP="00CC51F5">
      <w:pPr>
        <w:pStyle w:val="Heading1"/>
      </w:pPr>
      <w:r>
        <w:t xml:space="preserve">Political Communication </w:t>
      </w:r>
      <w:r w:rsidR="00B36AEA">
        <w:t>Section</w:t>
      </w:r>
      <w:r>
        <w:t xml:space="preserve"> at ECPR </w:t>
      </w:r>
      <w:r w:rsidRPr="00B36AEA">
        <w:t>General Conference 2026</w:t>
      </w:r>
    </w:p>
    <w:p w14:paraId="7E820595" w14:textId="77777777" w:rsidR="00CC51F5" w:rsidRDefault="00CC51F5" w:rsidP="00B32843">
      <w:pPr>
        <w:pStyle w:val="Heading1"/>
      </w:pPr>
      <w:r w:rsidRPr="00B36AEA">
        <w:t>8 – 11 September, Jagiellonian University, Kraków</w:t>
      </w:r>
    </w:p>
    <w:p w14:paraId="5730C664" w14:textId="35ABA2C0" w:rsidR="00751E85" w:rsidRDefault="00B36AEA" w:rsidP="00B32843">
      <w:pPr>
        <w:pStyle w:val="Heading1"/>
      </w:pPr>
      <w:r>
        <w:br/>
      </w:r>
      <w:r w:rsidR="00CC51F5">
        <w:t>“</w:t>
      </w:r>
      <w:r w:rsidR="00751E85" w:rsidRPr="00751E85">
        <w:t xml:space="preserve">Political Communication </w:t>
      </w:r>
      <w:r w:rsidR="00751E85">
        <w:t>Between Disruptive Technologies</w:t>
      </w:r>
      <w:r w:rsidR="00B32843">
        <w:t xml:space="preserve"> and </w:t>
      </w:r>
      <w:r w:rsidR="00B32843" w:rsidRPr="00751E85">
        <w:t>Democratic Backsliding</w:t>
      </w:r>
      <w:r w:rsidR="00CC51F5">
        <w:t>”</w:t>
      </w:r>
    </w:p>
    <w:p w14:paraId="007757FF" w14:textId="77777777" w:rsidR="00710912" w:rsidRDefault="00710912" w:rsidP="00710912"/>
    <w:p w14:paraId="5BBB6460" w14:textId="77777777" w:rsidR="00710912" w:rsidRPr="00710912" w:rsidRDefault="00710912" w:rsidP="00710912">
      <w:r w:rsidRPr="00710912">
        <w:t>Section Number:</w:t>
      </w:r>
    </w:p>
    <w:p w14:paraId="3F06AE3C" w14:textId="77777777" w:rsidR="00710912" w:rsidRPr="00710912" w:rsidRDefault="00710912" w:rsidP="00710912">
      <w:r w:rsidRPr="00710912">
        <w:t>S69</w:t>
      </w:r>
    </w:p>
    <w:p w14:paraId="7E571B32" w14:textId="77777777" w:rsidR="00710912" w:rsidRPr="00710912" w:rsidRDefault="00710912" w:rsidP="00710912">
      <w:r w:rsidRPr="00710912">
        <w:t>Section Chairs</w:t>
      </w:r>
    </w:p>
    <w:p w14:paraId="6EBB407A" w14:textId="77777777" w:rsidR="00710912" w:rsidRPr="00710912" w:rsidRDefault="00710912" w:rsidP="00710912">
      <w:hyperlink r:id="rId5" w:history="1">
        <w:r w:rsidRPr="00710912">
          <w:rPr>
            <w:rStyle w:val="Hyperlink"/>
            <w:b/>
            <w:bCs/>
          </w:rPr>
          <w:t>Johanna Burger</w:t>
        </w:r>
      </w:hyperlink>
    </w:p>
    <w:p w14:paraId="20A57724" w14:textId="77777777" w:rsidR="00710912" w:rsidRPr="00710912" w:rsidRDefault="00710912" w:rsidP="00710912">
      <w:r w:rsidRPr="00710912">
        <w:t>Freie Universität Berlin</w:t>
      </w:r>
    </w:p>
    <w:p w14:paraId="06D86C6F" w14:textId="77777777" w:rsidR="00710912" w:rsidRPr="00710912" w:rsidRDefault="00710912" w:rsidP="00710912">
      <w:hyperlink r:id="rId6" w:history="1">
        <w:r w:rsidRPr="00710912">
          <w:rPr>
            <w:rStyle w:val="Hyperlink"/>
            <w:b/>
            <w:bCs/>
          </w:rPr>
          <w:t>Thomas Milic</w:t>
        </w:r>
      </w:hyperlink>
    </w:p>
    <w:p w14:paraId="37C49553" w14:textId="77777777" w:rsidR="00710912" w:rsidRPr="00710912" w:rsidRDefault="00710912" w:rsidP="00710912">
      <w:r w:rsidRPr="00710912">
        <w:t>University of Zurich</w:t>
      </w:r>
    </w:p>
    <w:p w14:paraId="6517B440" w14:textId="77777777" w:rsidR="006B60E4" w:rsidRDefault="006B60E4" w:rsidP="00710912"/>
    <w:p w14:paraId="0BA15112" w14:textId="05A09667" w:rsidR="00710912" w:rsidRPr="00710912" w:rsidRDefault="006B60E4" w:rsidP="00710912">
      <w:r>
        <w:t>Submission Deadline: 9 January 2026</w:t>
      </w:r>
      <w:r w:rsidR="00710912" w:rsidRPr="00710912">
        <w:br/>
      </w:r>
    </w:p>
    <w:p w14:paraId="46AFD0B1" w14:textId="77777777" w:rsidR="00710912" w:rsidRDefault="00710912" w:rsidP="00710912">
      <w:r w:rsidRPr="00710912">
        <w:t>Endorsed by the ECPR Standing Group on </w:t>
      </w:r>
      <w:hyperlink r:id="rId7" w:tgtFrame="_blank" w:history="1">
        <w:r w:rsidRPr="00710912">
          <w:rPr>
            <w:rStyle w:val="Hyperlink"/>
            <w:b/>
            <w:bCs/>
          </w:rPr>
          <w:t>Political Communication</w:t>
        </w:r>
      </w:hyperlink>
    </w:p>
    <w:p w14:paraId="68DC948A" w14:textId="77777777" w:rsidR="00BA0080" w:rsidRDefault="00BA0080" w:rsidP="00710912">
      <w:r>
        <w:t xml:space="preserve">Conference: </w:t>
      </w:r>
      <w:hyperlink r:id="rId8" w:history="1">
        <w:r w:rsidRPr="00BA0080">
          <w:rPr>
            <w:rStyle w:val="Hyperlink"/>
          </w:rPr>
          <w:t>ECPR General Conference 2026, Jagiellonian University, 8 – 11 September 2026</w:t>
        </w:r>
      </w:hyperlink>
    </w:p>
    <w:p w14:paraId="7F73C15C" w14:textId="4FE1FCAC" w:rsidR="00BA0080" w:rsidRPr="00710912" w:rsidRDefault="00BA0080" w:rsidP="00710912">
      <w:r>
        <w:t xml:space="preserve">Link: </w:t>
      </w:r>
      <w:r w:rsidRPr="00BA0080">
        <w:t>https://ecpr.eu/Events/Event/SectionDetails/1677</w:t>
      </w:r>
      <w:r>
        <w:t xml:space="preserve"> </w:t>
      </w:r>
    </w:p>
    <w:p w14:paraId="6C0F88A8" w14:textId="77777777" w:rsidR="00710912" w:rsidRDefault="00710912" w:rsidP="00710912"/>
    <w:p w14:paraId="6FFCCF3E" w14:textId="0ED57C84" w:rsidR="00710912" w:rsidRPr="00710912" w:rsidRDefault="00B36AEA" w:rsidP="00710912">
      <w:r>
        <w:t>Call for Papers:</w:t>
      </w:r>
    </w:p>
    <w:p w14:paraId="0537DC00" w14:textId="59D91E14" w:rsidR="00751E85" w:rsidRPr="00751E85" w:rsidRDefault="00751E85" w:rsidP="00B32843">
      <w:pPr>
        <w:spacing w:line="240" w:lineRule="auto"/>
      </w:pPr>
      <w:r w:rsidRPr="00751E85">
        <w:t xml:space="preserve">Democracies around the world are </w:t>
      </w:r>
      <w:r w:rsidRPr="00B32843">
        <w:t xml:space="preserve">under </w:t>
      </w:r>
      <w:r w:rsidRPr="00751E85">
        <w:t xml:space="preserve">pressure from the convergence of technological innovation, growing information disorders, </w:t>
      </w:r>
      <w:r w:rsidRPr="00B32843">
        <w:t xml:space="preserve">and the rise of political actors </w:t>
      </w:r>
      <w:r w:rsidR="00B32843">
        <w:t xml:space="preserve">that </w:t>
      </w:r>
      <w:r w:rsidRPr="00B32843">
        <w:t xml:space="preserve">work towards the erosion of </w:t>
      </w:r>
      <w:r w:rsidR="00B32843">
        <w:t xml:space="preserve">democratic </w:t>
      </w:r>
      <w:r w:rsidRPr="00B32843">
        <w:t xml:space="preserve">institutions and civil liberties. </w:t>
      </w:r>
      <w:r w:rsidR="00B32843">
        <w:br/>
      </w:r>
      <w:r w:rsidRPr="00751E85">
        <w:lastRenderedPageBreak/>
        <w:t xml:space="preserve">This </w:t>
      </w:r>
      <w:r w:rsidRPr="00B32843">
        <w:t xml:space="preserve">section </w:t>
      </w:r>
      <w:r w:rsidRPr="00751E85">
        <w:t xml:space="preserve">invites </w:t>
      </w:r>
      <w:r w:rsidRPr="00B32843">
        <w:t xml:space="preserve">submissions </w:t>
      </w:r>
      <w:r w:rsidRPr="00751E85">
        <w:t xml:space="preserve">that illuminate </w:t>
      </w:r>
      <w:r w:rsidRPr="00B32843">
        <w:t>the role of political communication in</w:t>
      </w:r>
      <w:r w:rsidRPr="00751E85">
        <w:t xml:space="preserve"> these</w:t>
      </w:r>
      <w:r w:rsidRPr="00B32843">
        <w:t xml:space="preserve"> interacting processes</w:t>
      </w:r>
      <w:r w:rsidRPr="00751E85">
        <w:t>.</w:t>
      </w:r>
    </w:p>
    <w:p w14:paraId="4AFF8E2B" w14:textId="77777777" w:rsidR="00751E85" w:rsidRPr="00751E85" w:rsidRDefault="00751E85" w:rsidP="00B32843">
      <w:pPr>
        <w:spacing w:line="240" w:lineRule="auto"/>
      </w:pPr>
      <w:r w:rsidRPr="00751E85">
        <w:t>We welcome research across the full spectrum of political communication, including work that:</w:t>
      </w:r>
    </w:p>
    <w:p w14:paraId="48FDDADE" w14:textId="77777777" w:rsidR="00751E85" w:rsidRPr="00751E85" w:rsidRDefault="00751E85" w:rsidP="00B32843">
      <w:pPr>
        <w:spacing w:line="240" w:lineRule="auto"/>
        <w:rPr>
          <w:b/>
          <w:bCs/>
        </w:rPr>
      </w:pPr>
      <w:r w:rsidRPr="00751E85">
        <w:rPr>
          <w:b/>
          <w:bCs/>
        </w:rPr>
        <w:t>1. Technology, Platforms, and the Transformation of Communication</w:t>
      </w:r>
    </w:p>
    <w:p w14:paraId="4DC248EB" w14:textId="5D1DB15E" w:rsidR="00751E85" w:rsidRPr="00751E85" w:rsidRDefault="00751E85" w:rsidP="00B32843">
      <w:pPr>
        <w:numPr>
          <w:ilvl w:val="0"/>
          <w:numId w:val="1"/>
        </w:numPr>
        <w:spacing w:line="240" w:lineRule="auto"/>
      </w:pPr>
      <w:r w:rsidRPr="00751E85">
        <w:t>Examines how emerging technologies</w:t>
      </w:r>
      <w:r w:rsidR="009147C8" w:rsidRPr="00B32843">
        <w:t xml:space="preserve">, </w:t>
      </w:r>
      <w:r w:rsidRPr="00751E85">
        <w:t>including generative AI, algorithmic curation, and evolving social media platforms</w:t>
      </w:r>
      <w:r w:rsidR="009147C8" w:rsidRPr="00B32843">
        <w:t xml:space="preserve">, </w:t>
      </w:r>
      <w:r w:rsidRPr="00751E85">
        <w:t>reshape political communication, participation, and public discourse.</w:t>
      </w:r>
    </w:p>
    <w:p w14:paraId="31744A25" w14:textId="572A5590" w:rsidR="00751E85" w:rsidRPr="00751E85" w:rsidRDefault="00751E85" w:rsidP="00B32843">
      <w:pPr>
        <w:numPr>
          <w:ilvl w:val="0"/>
          <w:numId w:val="1"/>
        </w:numPr>
        <w:spacing w:line="240" w:lineRule="auto"/>
      </w:pPr>
      <w:r w:rsidRPr="00751E85">
        <w:t>Investigates questions of authenticity, artificiality, and veracity, including synthetic content, machine-generated communication, deepfakes, and human–machine interaction.</w:t>
      </w:r>
    </w:p>
    <w:p w14:paraId="554D410F" w14:textId="77777777" w:rsidR="00751E85" w:rsidRPr="00751E85" w:rsidRDefault="00751E85" w:rsidP="00B32843">
      <w:pPr>
        <w:numPr>
          <w:ilvl w:val="0"/>
          <w:numId w:val="1"/>
        </w:numPr>
        <w:spacing w:line="240" w:lineRule="auto"/>
      </w:pPr>
      <w:r w:rsidRPr="00751E85">
        <w:t>Analyzes how both established and extreme political actors adopt, adapt to, or strategically exploit new digital tools.</w:t>
      </w:r>
    </w:p>
    <w:p w14:paraId="0FC5D191" w14:textId="77777777" w:rsidR="00751E85" w:rsidRPr="00751E85" w:rsidRDefault="00751E85" w:rsidP="00B32843">
      <w:pPr>
        <w:spacing w:line="240" w:lineRule="auto"/>
        <w:rPr>
          <w:b/>
          <w:bCs/>
        </w:rPr>
      </w:pPr>
      <w:r w:rsidRPr="00751E85">
        <w:rPr>
          <w:b/>
          <w:bCs/>
        </w:rPr>
        <w:t>2. Information Disorders and Democratic Vulnerabilities</w:t>
      </w:r>
    </w:p>
    <w:p w14:paraId="3305577B" w14:textId="77777777" w:rsidR="00751E85" w:rsidRPr="00751E85" w:rsidRDefault="00751E85" w:rsidP="00B32843">
      <w:pPr>
        <w:numPr>
          <w:ilvl w:val="0"/>
          <w:numId w:val="2"/>
        </w:numPr>
        <w:spacing w:line="240" w:lineRule="auto"/>
      </w:pPr>
      <w:r w:rsidRPr="00751E85">
        <w:t>Studies the emergence, spread, and impact of disinformation, influence operations, and networked propaganda, including cross-border or coordinated campaigns.</w:t>
      </w:r>
    </w:p>
    <w:p w14:paraId="6EF9DF2D" w14:textId="77777777" w:rsidR="00751E85" w:rsidRPr="00751E85" w:rsidRDefault="00751E85" w:rsidP="00B32843">
      <w:pPr>
        <w:numPr>
          <w:ilvl w:val="0"/>
          <w:numId w:val="2"/>
        </w:numPr>
        <w:spacing w:line="240" w:lineRule="auto"/>
      </w:pPr>
      <w:r w:rsidRPr="00751E85">
        <w:t>Explores the mechanisms through which technological change and information disorders interact with affective polarization and contribute to democratic decline.</w:t>
      </w:r>
    </w:p>
    <w:p w14:paraId="02F3A4DB" w14:textId="0A1EBE1D" w:rsidR="00751E85" w:rsidRPr="00751E85" w:rsidRDefault="00751E85" w:rsidP="00B32843">
      <w:pPr>
        <w:numPr>
          <w:ilvl w:val="0"/>
          <w:numId w:val="2"/>
        </w:numPr>
        <w:spacing w:line="240" w:lineRule="auto"/>
      </w:pPr>
      <w:r w:rsidRPr="00751E85">
        <w:t xml:space="preserve">Assesses micro- and macro-level consequences for citizen attitudes, emotions, behavior, </w:t>
      </w:r>
      <w:r w:rsidR="009147C8" w:rsidRPr="00B32843">
        <w:t>news</w:t>
      </w:r>
      <w:r w:rsidRPr="00751E85">
        <w:t xml:space="preserve"> consumption</w:t>
      </w:r>
      <w:r w:rsidR="009147C8" w:rsidRPr="00B32843">
        <w:t xml:space="preserve"> and avoidance</w:t>
      </w:r>
      <w:r w:rsidRPr="00751E85">
        <w:t>, institutional trust, and democratic accountability.</w:t>
      </w:r>
    </w:p>
    <w:p w14:paraId="5808216D" w14:textId="77777777" w:rsidR="00751E85" w:rsidRPr="00751E85" w:rsidRDefault="00751E85" w:rsidP="00B32843">
      <w:pPr>
        <w:spacing w:line="240" w:lineRule="auto"/>
        <w:rPr>
          <w:b/>
          <w:bCs/>
        </w:rPr>
      </w:pPr>
      <w:r w:rsidRPr="00751E85">
        <w:rPr>
          <w:b/>
          <w:bCs/>
        </w:rPr>
        <w:t>3. Media, Intermediaries, and Public Knowledge</w:t>
      </w:r>
    </w:p>
    <w:p w14:paraId="4AF73175" w14:textId="77777777" w:rsidR="00751E85" w:rsidRPr="00751E85" w:rsidRDefault="00751E85" w:rsidP="00B32843">
      <w:pPr>
        <w:numPr>
          <w:ilvl w:val="0"/>
          <w:numId w:val="3"/>
        </w:numPr>
        <w:spacing w:line="240" w:lineRule="auto"/>
      </w:pPr>
      <w:r w:rsidRPr="00751E85">
        <w:t>Analyzes the evolving roles of legacy media, journalism, and professional fact-checkers in shaping information integrity and public understanding.</w:t>
      </w:r>
    </w:p>
    <w:p w14:paraId="083144B4" w14:textId="77777777" w:rsidR="00751E85" w:rsidRPr="00751E85" w:rsidRDefault="00751E85" w:rsidP="00B32843">
      <w:pPr>
        <w:numPr>
          <w:ilvl w:val="0"/>
          <w:numId w:val="3"/>
        </w:numPr>
        <w:spacing w:line="240" w:lineRule="auto"/>
      </w:pPr>
      <w:r w:rsidRPr="00751E85">
        <w:t>Investigates how science communicators, experts, and knowledge institutions navigate contested information environments and shifting public trust.</w:t>
      </w:r>
    </w:p>
    <w:p w14:paraId="65254FC8" w14:textId="77777777" w:rsidR="00751E85" w:rsidRPr="00751E85" w:rsidRDefault="00751E85" w:rsidP="00B32843">
      <w:pPr>
        <w:numPr>
          <w:ilvl w:val="0"/>
          <w:numId w:val="3"/>
        </w:numPr>
        <w:spacing w:line="240" w:lineRule="auto"/>
      </w:pPr>
      <w:r w:rsidRPr="00751E85">
        <w:t>Examines how media systems, platform governance, and regulatory environments condition the spread and correction of misinformation.</w:t>
      </w:r>
    </w:p>
    <w:p w14:paraId="637293CE" w14:textId="77777777" w:rsidR="00751E85" w:rsidRPr="00751E85" w:rsidRDefault="00751E85" w:rsidP="00B32843">
      <w:pPr>
        <w:spacing w:line="240" w:lineRule="auto"/>
        <w:rPr>
          <w:b/>
          <w:bCs/>
        </w:rPr>
      </w:pPr>
      <w:r w:rsidRPr="00751E85">
        <w:rPr>
          <w:b/>
          <w:bCs/>
        </w:rPr>
        <w:t>4. Political Actors, Strategies, and Democratic Resilience</w:t>
      </w:r>
    </w:p>
    <w:p w14:paraId="3D9D321C" w14:textId="77777777" w:rsidR="00751E85" w:rsidRPr="00751E85" w:rsidRDefault="00751E85" w:rsidP="00B32843">
      <w:pPr>
        <w:numPr>
          <w:ilvl w:val="0"/>
          <w:numId w:val="4"/>
        </w:numPr>
        <w:spacing w:line="240" w:lineRule="auto"/>
      </w:pPr>
      <w:r w:rsidRPr="00751E85">
        <w:t>Explores how political parties, governments, and civil society organizations respond to domestic and international information challenges.</w:t>
      </w:r>
    </w:p>
    <w:p w14:paraId="529821B4" w14:textId="77777777" w:rsidR="00751E85" w:rsidRPr="00751E85" w:rsidRDefault="00751E85" w:rsidP="00B32843">
      <w:pPr>
        <w:numPr>
          <w:ilvl w:val="0"/>
          <w:numId w:val="4"/>
        </w:numPr>
        <w:spacing w:line="240" w:lineRule="auto"/>
      </w:pPr>
      <w:r w:rsidRPr="00751E85">
        <w:t>Investigates how extremist actors leverage disruptive communication technologies, mobilize affective divisions, or exploit institutional vulnerabilities.</w:t>
      </w:r>
    </w:p>
    <w:p w14:paraId="3151E5CF" w14:textId="77777777" w:rsidR="00751E85" w:rsidRPr="00751E85" w:rsidRDefault="00751E85" w:rsidP="00B32843">
      <w:pPr>
        <w:numPr>
          <w:ilvl w:val="0"/>
          <w:numId w:val="4"/>
        </w:numPr>
        <w:spacing w:line="240" w:lineRule="auto"/>
      </w:pPr>
      <w:r w:rsidRPr="00751E85">
        <w:t>Studies efforts to mitigate negative effects, including regulatory interventions, institutional reforms, media literacy initiatives, civic and journalistic innovation, and design-based or technological safeguards.</w:t>
      </w:r>
    </w:p>
    <w:p w14:paraId="2DEA13DC" w14:textId="5F4CDC8B" w:rsidR="00751E85" w:rsidRDefault="00751E85" w:rsidP="00B32843">
      <w:pPr>
        <w:spacing w:line="240" w:lineRule="auto"/>
      </w:pPr>
      <w:r w:rsidRPr="00751E85">
        <w:lastRenderedPageBreak/>
        <w:t xml:space="preserve">We welcome theoretical, empirical, and methodological diversity, including experimental, survey, digital trace, computational, </w:t>
      </w:r>
      <w:r w:rsidR="00B32843" w:rsidRPr="00751E85">
        <w:t xml:space="preserve">qualitative, </w:t>
      </w:r>
      <w:r w:rsidRPr="00751E85">
        <w:t xml:space="preserve">mixed-methods, and comparative approaches. </w:t>
      </w:r>
    </w:p>
    <w:p w14:paraId="116FB4F1" w14:textId="77777777" w:rsidR="00B36AEA" w:rsidRDefault="00B36AEA" w:rsidP="00B32843">
      <w:pPr>
        <w:spacing w:line="240" w:lineRule="auto"/>
      </w:pPr>
    </w:p>
    <w:p w14:paraId="315C48B7" w14:textId="77777777" w:rsidR="00B36AEA" w:rsidRDefault="00B36AEA" w:rsidP="00B32843">
      <w:pPr>
        <w:spacing w:line="240" w:lineRule="auto"/>
      </w:pPr>
    </w:p>
    <w:p w14:paraId="1A9CA020" w14:textId="77777777" w:rsidR="00B36AEA" w:rsidRPr="00B36AEA" w:rsidRDefault="00B36AEA" w:rsidP="00B36AEA">
      <w:pPr>
        <w:spacing w:line="240" w:lineRule="auto"/>
        <w:rPr>
          <w:b/>
          <w:bCs/>
        </w:rPr>
      </w:pPr>
      <w:r w:rsidRPr="00B36AEA">
        <w:rPr>
          <w:b/>
          <w:bCs/>
        </w:rPr>
        <w:t>Panel and Paper proposals</w:t>
      </w:r>
    </w:p>
    <w:p w14:paraId="05B7B32F" w14:textId="77777777" w:rsidR="00B36AEA" w:rsidRPr="00B36AEA" w:rsidRDefault="00B36AEA" w:rsidP="00B36AEA">
      <w:pPr>
        <w:spacing w:line="240" w:lineRule="auto"/>
      </w:pPr>
      <w:r w:rsidRPr="00B36AEA">
        <w:t>The call for Panels and Papers is open until 9 January 2026.</w:t>
      </w:r>
    </w:p>
    <w:p w14:paraId="7361D774" w14:textId="77777777" w:rsidR="00B36AEA" w:rsidRPr="00B36AEA" w:rsidRDefault="00B36AEA" w:rsidP="00B36AEA">
      <w:pPr>
        <w:spacing w:line="240" w:lineRule="auto"/>
      </w:pPr>
      <w:r w:rsidRPr="00B36AEA">
        <w:t>We are seeking Panel and Paper proposals across </w:t>
      </w:r>
      <w:hyperlink r:id="rId9" w:tgtFrame="_self" w:history="1">
        <w:r w:rsidRPr="00B36AEA">
          <w:rPr>
            <w:rStyle w:val="Hyperlink"/>
            <w:b/>
            <w:bCs/>
          </w:rPr>
          <w:t>71 Sections</w:t>
        </w:r>
      </w:hyperlink>
      <w:r w:rsidRPr="00B36AEA">
        <w:t> covering all corners of political science.</w:t>
      </w:r>
    </w:p>
    <w:p w14:paraId="0B9384FD" w14:textId="77777777" w:rsidR="00B36AEA" w:rsidRPr="00B36AEA" w:rsidRDefault="00B36AEA" w:rsidP="00B36AEA">
      <w:pPr>
        <w:spacing w:line="240" w:lineRule="auto"/>
      </w:pPr>
      <w:r w:rsidRPr="00B36AEA">
        <w:t>Good to know</w:t>
      </w:r>
    </w:p>
    <w:p w14:paraId="35619D86" w14:textId="77777777" w:rsidR="00B36AEA" w:rsidRPr="00B36AEA" w:rsidRDefault="00B36AEA" w:rsidP="00B36AEA">
      <w:pPr>
        <w:numPr>
          <w:ilvl w:val="0"/>
          <w:numId w:val="5"/>
        </w:numPr>
        <w:spacing w:line="240" w:lineRule="auto"/>
      </w:pPr>
      <w:r w:rsidRPr="00B36AEA">
        <w:t>All Panels provisionally proposed as part of accepted Sections must be formally submitted via the </w:t>
      </w:r>
      <w:hyperlink r:id="rId10" w:tgtFrame="_self" w:history="1">
        <w:r w:rsidRPr="00B36AEA">
          <w:rPr>
            <w:rStyle w:val="Hyperlink"/>
            <w:b/>
            <w:bCs/>
          </w:rPr>
          <w:t>Panel proposal form</w:t>
        </w:r>
      </w:hyperlink>
      <w:r w:rsidRPr="00B36AEA">
        <w:t>.</w:t>
      </w:r>
    </w:p>
    <w:p w14:paraId="7CE4FFAF" w14:textId="77777777" w:rsidR="00B36AEA" w:rsidRPr="00B36AEA" w:rsidRDefault="00B36AEA" w:rsidP="00B36AEA">
      <w:pPr>
        <w:numPr>
          <w:ilvl w:val="0"/>
          <w:numId w:val="5"/>
        </w:numPr>
        <w:spacing w:line="240" w:lineRule="auto"/>
      </w:pPr>
      <w:r w:rsidRPr="00B36AEA">
        <w:t>Paper Presenters can present no more than two Papers.</w:t>
      </w:r>
    </w:p>
    <w:p w14:paraId="7831CCE3" w14:textId="77777777" w:rsidR="00B36AEA" w:rsidRPr="00B36AEA" w:rsidRDefault="00B36AEA" w:rsidP="00B36AEA">
      <w:pPr>
        <w:numPr>
          <w:ilvl w:val="0"/>
          <w:numId w:val="5"/>
        </w:numPr>
        <w:spacing w:line="240" w:lineRule="auto"/>
      </w:pPr>
      <w:r w:rsidRPr="00B36AEA">
        <w:t>Paper Presenters are expected to serve as Discussants for one Paper within their Panel.</w:t>
      </w:r>
    </w:p>
    <w:p w14:paraId="298E2B75" w14:textId="77777777" w:rsidR="00B36AEA" w:rsidRPr="00B36AEA" w:rsidRDefault="00B36AEA" w:rsidP="00B36AEA">
      <w:pPr>
        <w:numPr>
          <w:ilvl w:val="0"/>
          <w:numId w:val="5"/>
        </w:numPr>
        <w:spacing w:line="240" w:lineRule="auto"/>
      </w:pPr>
      <w:r w:rsidRPr="00B36AEA">
        <w:t>Participants should ensure their availability for the entire duration of the conference.</w:t>
      </w:r>
    </w:p>
    <w:p w14:paraId="4E25FF3F" w14:textId="77777777" w:rsidR="00B36AEA" w:rsidRPr="00B36AEA" w:rsidRDefault="00B36AEA" w:rsidP="00B36AEA">
      <w:pPr>
        <w:spacing w:line="240" w:lineRule="auto"/>
      </w:pPr>
      <w:r w:rsidRPr="00B36AEA">
        <w:t>Read the full guidelines </w:t>
      </w:r>
      <w:hyperlink r:id="rId11" w:tgtFrame="_self" w:history="1">
        <w:r w:rsidRPr="00B36AEA">
          <w:rPr>
            <w:rStyle w:val="Hyperlink"/>
            <w:b/>
            <w:bCs/>
          </w:rPr>
          <w:t>here</w:t>
        </w:r>
      </w:hyperlink>
      <w:r w:rsidRPr="00B36AEA">
        <w:t> and get ready to submit your proposal.</w:t>
      </w:r>
    </w:p>
    <w:p w14:paraId="09B04006" w14:textId="77777777" w:rsidR="00B36AEA" w:rsidRPr="00751E85" w:rsidRDefault="00B36AEA" w:rsidP="00B32843">
      <w:pPr>
        <w:spacing w:line="240" w:lineRule="auto"/>
      </w:pPr>
    </w:p>
    <w:p w14:paraId="53404E37" w14:textId="77777777" w:rsidR="00467E1C" w:rsidRDefault="00467E1C" w:rsidP="00B32843">
      <w:pPr>
        <w:spacing w:line="240" w:lineRule="auto"/>
      </w:pPr>
    </w:p>
    <w:sectPr w:rsidR="00467E1C" w:rsidSect="00AA3B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9397E"/>
    <w:multiLevelType w:val="multilevel"/>
    <w:tmpl w:val="BFEC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696383"/>
    <w:multiLevelType w:val="multilevel"/>
    <w:tmpl w:val="CC04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853AFC"/>
    <w:multiLevelType w:val="multilevel"/>
    <w:tmpl w:val="4472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8636E2"/>
    <w:multiLevelType w:val="multilevel"/>
    <w:tmpl w:val="5E7898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C819C9"/>
    <w:multiLevelType w:val="multilevel"/>
    <w:tmpl w:val="C26E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655203">
    <w:abstractNumId w:val="0"/>
  </w:num>
  <w:num w:numId="2" w16cid:durableId="356662150">
    <w:abstractNumId w:val="4"/>
  </w:num>
  <w:num w:numId="3" w16cid:durableId="531385993">
    <w:abstractNumId w:val="2"/>
  </w:num>
  <w:num w:numId="4" w16cid:durableId="1857577149">
    <w:abstractNumId w:val="1"/>
  </w:num>
  <w:num w:numId="5" w16cid:durableId="31538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85"/>
    <w:rsid w:val="000003AA"/>
    <w:rsid w:val="00083870"/>
    <w:rsid w:val="0013511F"/>
    <w:rsid w:val="001359F7"/>
    <w:rsid w:val="00140322"/>
    <w:rsid w:val="00143045"/>
    <w:rsid w:val="00181354"/>
    <w:rsid w:val="00182546"/>
    <w:rsid w:val="001D46C1"/>
    <w:rsid w:val="0025360F"/>
    <w:rsid w:val="002E5557"/>
    <w:rsid w:val="0032784D"/>
    <w:rsid w:val="003A2EF4"/>
    <w:rsid w:val="00467E1C"/>
    <w:rsid w:val="004F06AD"/>
    <w:rsid w:val="005212D0"/>
    <w:rsid w:val="00666EB8"/>
    <w:rsid w:val="006978AF"/>
    <w:rsid w:val="006B60E4"/>
    <w:rsid w:val="00710912"/>
    <w:rsid w:val="00733F72"/>
    <w:rsid w:val="00751E85"/>
    <w:rsid w:val="00800632"/>
    <w:rsid w:val="0081162E"/>
    <w:rsid w:val="008214CB"/>
    <w:rsid w:val="008D4B3C"/>
    <w:rsid w:val="00902FD5"/>
    <w:rsid w:val="009147C8"/>
    <w:rsid w:val="009D2EF8"/>
    <w:rsid w:val="00A02FD1"/>
    <w:rsid w:val="00A2002F"/>
    <w:rsid w:val="00A95619"/>
    <w:rsid w:val="00AA3B9A"/>
    <w:rsid w:val="00AD7D10"/>
    <w:rsid w:val="00AF78B0"/>
    <w:rsid w:val="00B32843"/>
    <w:rsid w:val="00B36AEA"/>
    <w:rsid w:val="00B71100"/>
    <w:rsid w:val="00B91842"/>
    <w:rsid w:val="00BA0080"/>
    <w:rsid w:val="00BB12A3"/>
    <w:rsid w:val="00BB4D22"/>
    <w:rsid w:val="00CC51F5"/>
    <w:rsid w:val="00D230C3"/>
    <w:rsid w:val="00D830AA"/>
    <w:rsid w:val="00DB3E17"/>
    <w:rsid w:val="00E66FC9"/>
    <w:rsid w:val="00E9236C"/>
    <w:rsid w:val="00F8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B8C3E"/>
  <w15:chartTrackingRefBased/>
  <w15:docId w15:val="{A8429F2E-9428-4BC5-A2DC-9F83D023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E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E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E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E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E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E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E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E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E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E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E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78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pr.eu/GeneralConferen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cpr.eu/group/political-communica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pr.eu/profile/ThomasMilic2" TargetMode="External"/><Relationship Id="rId11" Type="http://schemas.openxmlformats.org/officeDocument/2006/relationships/hyperlink" Target="https://ecpr.eu/Events/Event/Content?ID=1588&amp;EventID=349" TargetMode="External"/><Relationship Id="rId5" Type="http://schemas.openxmlformats.org/officeDocument/2006/relationships/hyperlink" Target="https://ecpr.eu/profile/JohannaBurger" TargetMode="External"/><Relationship Id="rId10" Type="http://schemas.openxmlformats.org/officeDocument/2006/relationships/hyperlink" Target="https://ecpr.eu/MyEcpr/Forms/PanelProposalForm.aspx?EventID=3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pr.eu/Events/AcademicProgramme/Programme?EventID=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oWagafB485TYCeUg</dc:creator>
  <cp:keywords/>
  <dc:description/>
  <cp:lastModifiedBy>oWagafB485TYCeUg</cp:lastModifiedBy>
  <cp:revision>9</cp:revision>
  <dcterms:created xsi:type="dcterms:W3CDTF">2025-11-18T20:44:00Z</dcterms:created>
  <dcterms:modified xsi:type="dcterms:W3CDTF">2025-12-28T14:58:00Z</dcterms:modified>
</cp:coreProperties>
</file>